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864"/>
          <w:sz w:val="30"/>
          <w:szCs w:val="30"/>
        </w:rPr>
        <w:t xml:space="preserve">KLAUZULA INFORMACYJNA RODO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dotycząca naboru nominacji do Nagrody im. Grażyny Langowskiej</w:t>
      </w:r>
    </w:p>
    <w:p>
      <w:pPr>
        <w:spacing w:after="300"/>
        <w:jc w:val="center"/>
      </w:pPr>
      <w:r>
        <w:rPr>
          <w:rFonts w:ascii="Calibri" w:cs="Calibri" w:eastAsia="Calibri" w:hAnsi="Calibri"/>
          <w:sz w:val="21"/>
          <w:szCs w:val="21"/>
        </w:rPr>
        <w:t xml:space="preserve">w kategorii polonijnej Stowarzyszenia „Wspólnota Polska” — edycja 2026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Zgodnie z art. 13 i art. 14 rozporządzenia Parlamentu Europejskiego i Rady (UE) 2016/679 z dnia 27 kwietnia 2016 r. (RODO) informujemy: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1. Administrator danych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Administratorem danych osobowych jest Stowarzyszenie „Wspólnota Polska” z siedzibą w Warszawie (dalej: „Administrator”), zgodnie z § 14 ust. 1 Regulaminu naboru nominacji do Nagrody im. Grażyny Langowskiej (dalej: „Regulamin”).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Dane kontaktowe Administratora: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>adres, e-mail, telefon do uzupełnienia przez Organizatora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Dane kontaktowe inspektora ochrony danych (jeżeli został wyznaczony):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>do uzupełnienia przez Organizatora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2. Cele i podstawy przetwarzania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Dane osobowe kandydatów, podmiotów zgłaszających oraz osób wyznaczonych do kontaktu będą przetwarzane w celu: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przyjęcia i weryfikacji zgłoszeń;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przeprowadzenia oceny kandydatur;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kontaktu z kandydatami i podmiotami zgłaszającymi;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wyboru i uhonorowania Laureata;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prowadzenia wieloletniej puli kandydatów;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dokumentowania przebiegu Nagrody;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publikacji informacji o Nominowanych, Finalistach i Laureacie;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promocji Nagrody i działalności Administratora;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ustalenia, dochodzenia lub obrony ewentualnych roszczeń;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realizacji obowiązków prawnych ciążących na Administratorze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— zgodnie z § 14 ust. 3 Regulaminu.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Podstawą przetwarzania jest zgoda osoby, której dane dotyczą (art. 6 ust. 1 lit. a RODO), niezbędność do podjęcia działań na żądanie osoby przed zawarciem umowy uczestnictwa w procedurze oraz prawnie uzasadniony interes Administratora, jakim jest organizacja i promocja Nagrody (art. 6 ust. 1 lit. f RODO), a w zakresie ewentualnych roszczeń — art. 6 ust. 1 lit. f RODO.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3. Odbiorcy danych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Dane mogą być udostępniane członkom Kapituły Nagrody w zakresie niezbędnym do oceny kandydatur, podmiotom świadczącym na rzecz Administratora usługi informatyczne, prawne i organizacyjne, a w przypadku Laureata — podmiotowi leczniczemu realizującemu pakiet zabiegów (Centrum Rehabilitacji Fundacji SWP Zdrowie w Ostródzie), wyłącznie w zakresie niezbędnym do realizacji świadczenia.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4. Okres przechowywania danych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dane kandydatów zakwalifikowanych do wieloletniej puli — przez okres aktywności kandydatury (do trzech edycji) oraz przez okres niezbędny do rozliczenia i udokumentowania danej edycji (§ 14 ust. 6 Regulaminu);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dane kandydatów niezakwalifikowanych do drugiego etapu — zostaną usunięte albo zanonimizowane po zakończeniu edycji i upływie okresu niezbędnego do rozpatrzenia ewentualnych zastrzeżeń oraz ochrony przed roszczeniami (§ 14 ust. 7 Regulaminu);</w:t>
      </w:r>
    </w:p>
    <w:p>
      <w:pPr>
        <w:spacing w:after="90" w:line="300"/>
        <w:ind w:left="420" w:hanging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•  </w:t>
      </w:r>
      <w:r>
        <w:rPr>
          <w:rFonts w:ascii="Calibri" w:cs="Calibri" w:eastAsia="Calibri" w:hAnsi="Calibri"/>
          <w:sz w:val="21"/>
          <w:szCs w:val="21"/>
        </w:rPr>
        <w:t xml:space="preserve">dane publikowane w związku z tytułem Laureata lub Nominowanego — przez okres uzasadniony celem dokumentowania i promocji Nagrody.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5. Prawa osób, których dane dotyczą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Osobie, której dane dotyczą, przysługuje prawo dostępu do danych, ich sprostowania, usunięcia lub ograniczenia przetwarzania, prawo do przenoszenia danych, prawo wniesienia sprzeciwu wobec przetwarzania opartego na prawnie uzasadnionym interesie Administratora, a w zakresie danych przetwarzanych na podstawie zgody — prawo do jej wycofania w każdym czasie, bez wpływu na zgodność z prawem przetwarzania dokonanego przed jej wycofaniem. Osobie tej przysługuje również prawo wniesienia skargi do Prezesa Urzędu Ochrony Danych Osobowych.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6. Dobrowolność podania danych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Podanie danych niezbędnych do zgłoszenia i oceny kandydatury jest dobrowolne, lecz konieczne do udziału w procedurze naboru nominacji (§ 14 ust. 5 Regulaminu). Niepodanie danych uniemożliwia rozpatrzenie zgłoszenia.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7. Dane szczególnych kategorii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Formularz zgłoszeniowy oraz załączniki nie powinny zawierać danych dotyczących zdrowia, życia prywatnego ani innych danych szczególnych kategorii, które nie są niezbędne do oceny działalności zawodowej lub społecznej kandydata (§ 3 ust. 7 Regulaminu). Dane dotyczące zdrowia Laureata, niezbędne wyłącznie do kwalifikacji i realizacji pakietu zabiegów, są przekazywane bezpośrednio podmiotowi leczniczemu i przetwarzane przez ten podmiot na zasadach właściwych dla dokumentacji medycznej — nie stanowią elementu dokumentacji konkursowej ani oceny kandydatury (§ 10 ust. 14 oraz § 14 ust. 9 Regulaminu).</w:t>
      </w:r>
    </w:p>
    <w:p>
      <w:pPr>
        <w:spacing w:after="140" w:before="320"/>
      </w:pPr>
      <w:r>
        <w:rPr>
          <w:rFonts w:ascii="Calibri" w:cs="Calibri" w:eastAsia="Calibri" w:hAnsi="Calibri"/>
          <w:b/>
          <w:bCs/>
          <w:color w:val="1F3864"/>
          <w:sz w:val="23"/>
          <w:szCs w:val="23"/>
        </w:rPr>
        <w:t xml:space="preserve">8. Wizerunek</w:t>
      </w:r>
    </w:p>
    <w:p>
      <w:pPr>
        <w:spacing w:after="140" w:line="300"/>
        <w:jc w:val="both"/>
      </w:pPr>
      <w:r>
        <w:rPr>
          <w:rFonts w:ascii="Calibri" w:cs="Calibri" w:eastAsia="Calibri" w:hAnsi="Calibri"/>
          <w:sz w:val="21"/>
          <w:szCs w:val="21"/>
        </w:rPr>
        <w:t xml:space="preserve">Publikacja wizerunku kandydata lub Laureata (np. zdjęcia) wymaga odrębnej, dobrowolnej zgody, udzielanej na zasadach opisanych w Oświadczeniu zgody kandydata (§ 11 ust. 3 pkt 6 oraz § 14 ust. 8 Regulaminu).</w:t>
      </w:r>
    </w:p>
    <w:sectPr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08080"/>
        <w:sz w:val="16"/>
        <w:szCs w:val="16"/>
      </w:rPr>
      <w:t xml:space="preserve">Nagroda im. Grażyny Langowskiej — str. </w:t>
    </w:r>
    <w:r>
      <w:rPr>
        <w:rFonts w:ascii="Calibri" w:cs="Calibri" w:eastAsia="Calibri" w:hAnsi="Calibri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08080"/>
        <w:sz w:val="16"/>
        <w:szCs w:val="16"/>
      </w:rPr>
      <w:t xml:space="preserve"> z </w:t>
    </w:r>
    <w:r>
      <w:rPr>
        <w:rFonts w:ascii="Calibri" w:cs="Calibri" w:eastAsia="Calibri" w:hAnsi="Calibri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rFonts w:ascii="Calibri" w:cs="Calibri" w:eastAsia="Calibri" w:hAnsi="Calibri"/>
        <w:i/>
        <w:iCs/>
        <w:color w:val="808080"/>
        <w:sz w:val="16"/>
        <w:szCs w:val="16"/>
      </w:rPr>
      <w:t xml:space="preserve">Załącznik nr 4 — Klauzula informacyjna RODO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2026-07-23T04:51:46.608Z</dcterms:created>
  <dcterms:modified xsi:type="dcterms:W3CDTF">2026-07-23T04:51:46.608Z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